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customXml/itemProps1.xml" ContentType="application/vnd.openxmlformats-officedocument.customXml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pPr>
      <w:r>
        <w:rPr>
          <w:rFonts w:ascii="Arial" w:hAnsi="Arial"/>
          <w:b/>
          <w:i w:val="0"/>
          <w:color w:val="2D2826"/>
          <w:sz w:val="56"/>
        </w:rPr>
        <w:t>Manage Account Codes</w:t>
      </w:r>
    </w:p>
    <w:p>
      <w:pPr>
        <w:spacing w:before="0" w:after="40"/>
      </w:pPr>
      <w:r>
        <w:rPr>
          <w:rFonts w:ascii="Arial" w:hAnsi="Arial"/>
          <w:b w:val="0"/>
          <w:i w:val="0"/>
          <w:color w:val="686468"/>
          <w:sz w:val="32"/>
        </w:rPr>
        <w:t>ESM Purchase™ Quick Reference Guide</w:t>
      </w:r>
    </w:p>
    <w:p>
      <w:pPr>
        <w:spacing w:before="0" w:after="120"/>
        <w:pBdr>
          <w:bottom w:val="single" w:sz="4" w:space="4" w:color="686468"/>
        </w:pBdr>
      </w:pPr>
      <w:r>
        <w:rPr>
          <w:rFonts w:ascii="Arial" w:hAnsi="Arial"/>
          <w:b w:val="0"/>
          <w:i w:val="0"/>
          <w:color w:val="686468"/>
          <w:sz w:val="24"/>
        </w:rPr>
        <w:t>[Institution] › ESM Purchase™ System Administrator  |  July 2026</w:t>
      </w:r>
    </w:p>
    <w:p>
      <w:pPr>
        <w:spacing w:before="0" w:after="80"/>
      </w:pPr>
    </w:p>
    <w:p>
      <w:pPr>
        <w:spacing w:before="0" w:after="120"/>
      </w:pPr>
      <w:r>
        <w:rPr>
          <w:rFonts w:ascii="Arial" w:hAnsi="Arial"/>
          <w:b/>
          <w:i w:val="0"/>
          <w:color w:val="2D2826"/>
          <w:sz w:val="24"/>
        </w:rPr>
        <w:t>ESM Purchase™  |  System Administrator</w:t>
      </w:r>
    </w:p>
    <w:p>
      <w:pPr>
        <w:spacing w:before="80" w:after="80"/>
      </w:pPr>
      <w:r>
        <w:rPr>
          <w:rFonts w:ascii="Arial" w:hAnsi="Arial"/>
          <w:b w:val="0"/>
          <w:i w:val="0"/>
          <w:color w:val="2D2826"/>
          <w:sz w:val="24"/>
        </w:rPr>
        <w:t>This guide describes how to create, configure, and import GL Acct Code records in ESM Purchase™.</w:t>
      </w:r>
    </w:p>
    <w:p>
      <w:pPr>
        <w:spacing w:before="160" w:after="40"/>
      </w:pPr>
      <w:r>
        <w:rPr>
          <w:rFonts w:ascii="Arial" w:hAnsi="Arial"/>
          <w:b/>
          <w:i w:val="0"/>
          <w:color w:val="2D2826"/>
          <w:sz w:val="24"/>
        </w:rPr>
        <w:t>Before you begin:</w:t>
      </w:r>
    </w:p>
    <w:p>
      <w:pPr>
        <w:spacing w:before="0" w:after="40"/>
        <w:ind w:left="360" w:hanging="180"/>
      </w:pPr>
      <w:r>
        <w:rPr>
          <w:rFonts w:ascii="Arial" w:hAnsi="Arial"/>
          <w:b w:val="0"/>
          <w:i w:val="0"/>
          <w:color w:val="2D2826"/>
          <w:sz w:val="24"/>
        </w:rPr>
        <w:t>•  You are logged into ESM Purchase™ as a System Administrator.</w:t>
      </w:r>
    </w:p>
    <w:p>
      <w:pPr>
        <w:spacing w:before="0" w:after="40"/>
        <w:ind w:left="360" w:hanging="180"/>
      </w:pPr>
      <w:r>
        <w:rPr>
          <w:rFonts w:ascii="Arial" w:hAnsi="Arial"/>
          <w:b w:val="0"/>
          <w:i w:val="0"/>
          <w:color w:val="2D2826"/>
          <w:sz w:val="24"/>
        </w:rPr>
        <w:t>•  You have access to Account Code Configuration settings in the Admin menu.</w:t>
      </w:r>
    </w:p>
    <w:p>
      <w:pPr>
        <w:spacing w:before="0" w:after="40"/>
        <w:ind w:left="360" w:hanging="180"/>
      </w:pPr>
      <w:r>
        <w:rPr>
          <w:rFonts w:ascii="Arial" w:hAnsi="Arial"/>
          <w:b w:val="0"/>
          <w:i w:val="0"/>
          <w:color w:val="2D2826"/>
          <w:sz w:val="24"/>
        </w:rPr>
        <w:t>•  If integrating with your institution’s ERP system, you know your ERP Chart of Accounts name and segment values.</w:t>
      </w:r>
    </w:p>
    <w:p>
      <w:pPr>
        <w:spacing w:before="240" w:after="80"/>
      </w:pPr>
      <w:r>
        <w:rPr>
          <w:rFonts w:ascii="Arial" w:hAnsi="Arial"/>
          <w:b/>
          <w:i w:val="0"/>
          <w:color w:val="F4333F"/>
          <w:sz w:val="36"/>
        </w:rPr>
        <w:t>Chart of Accounts</w:t>
      </w:r>
    </w:p>
    <w:p>
      <w:pPr>
        <w:spacing w:before="0" w:after="80"/>
      </w:pPr>
      <w:r>
        <w:rPr>
          <w:rFonts w:ascii="Arial" w:hAnsi="Arial"/>
          <w:b w:val="0"/>
          <w:i w:val="0"/>
          <w:color w:val="2D2826"/>
          <w:sz w:val="24"/>
        </w:rPr>
        <w:t>Create the top-level Chart of Accounts container before defining segments or importing codes.</w:t>
      </w:r>
    </w:p>
    <w:p>
      <w:pPr>
        <w:spacing w:before="80" w:after="40"/>
      </w:pPr>
      <w:r>
        <w:rPr>
          <w:rFonts w:ascii="Arial" w:hAnsi="Arial"/>
          <w:b/>
          <w:i w:val="0"/>
          <w:color w:val="2D2826"/>
          <w:sz w:val="24"/>
        </w:rPr>
        <w:t xml:space="preserve">Navigation: </w:t>
      </w:r>
      <w:r>
        <w:rPr>
          <w:rFonts w:ascii="Arial" w:hAnsi="Arial"/>
          <w:b w:val="0"/>
          <w:i/>
          <w:color w:val="2D2826"/>
          <w:sz w:val="22"/>
        </w:rPr>
        <w:t>Menu &gt; Admin &gt; Select Function &gt; Account Code Configuration &gt; Chart of Accounts</w:t>
      </w:r>
    </w:p>
    <w:p>
      <w:pPr>
        <w:spacing w:before="40" w:after="40"/>
        <w:ind w:left="360" w:hanging="360"/>
      </w:pPr>
      <w:r>
        <w:rPr>
          <w:rFonts w:ascii="Arial" w:hAnsi="Arial"/>
          <w:b/>
          <w:i w:val="0"/>
          <w:color w:val="2D2826"/>
          <w:sz w:val="24"/>
        </w:rPr>
        <w:t xml:space="preserve">1. </w:t>
      </w:r>
      <w:r>
        <w:rPr>
          <w:rFonts w:ascii="Arial" w:hAnsi="Arial"/>
          <w:b w:val="0"/>
          <w:i w:val="0"/>
          <w:color w:val="2D2826"/>
          <w:sz w:val="24"/>
        </w:rPr>
        <w:t>Enter the desired Chart of Accounts name.</w:t>
      </w:r>
    </w:p>
    <w:p>
      <w:pPr>
        <w:spacing w:before="40" w:after="40"/>
        <w:ind w:left="360" w:hanging="360"/>
      </w:pPr>
      <w:r>
        <w:rPr>
          <w:rFonts w:ascii="Arial" w:hAnsi="Arial"/>
          <w:b/>
          <w:i w:val="0"/>
          <w:color w:val="2D2826"/>
          <w:sz w:val="24"/>
        </w:rPr>
        <w:t xml:space="preserve">2. </w:t>
      </w:r>
      <w:r>
        <w:rPr>
          <w:rFonts w:ascii="Arial" w:hAnsi="Arial"/>
          <w:b w:val="0"/>
          <w:i w:val="0"/>
          <w:color w:val="2D2826"/>
          <w:sz w:val="24"/>
        </w:rPr>
        <w:t>Select the Add button.</w:t>
      </w:r>
    </w:p>
    <w:p>
      <w:pPr>
        <w:spacing w:before="40" w:after="40"/>
        <w:ind w:left="360" w:hanging="360"/>
      </w:pPr>
      <w:r>
        <w:rPr>
          <w:rFonts w:ascii="Arial" w:hAnsi="Arial"/>
          <w:b/>
          <w:i w:val="0"/>
          <w:color w:val="2D2826"/>
          <w:sz w:val="24"/>
        </w:rPr>
        <w:t xml:space="preserve">3. </w:t>
      </w:r>
      <w:r>
        <w:rPr>
          <w:rFonts w:ascii="Arial" w:hAnsi="Arial"/>
          <w:b w:val="0"/>
          <w:i w:val="0"/>
          <w:color w:val="2D2826"/>
          <w:sz w:val="24"/>
        </w:rPr>
        <w:t>Select the Update button to save.</w:t>
      </w:r>
    </w:p>
    <w:tbl>
      <w:tblPr>
        <w:tblW w:type="auto" w:w="0"/>
        <w:tblLook w:firstColumn="1" w:firstRow="1" w:lastColumn="0" w:lastRow="0" w:noHBand="0" w:noVBand="1" w:val="04A0"/>
      </w:tblPr>
      <w:tblGrid>
        <w:gridCol w:w="10080"/>
      </w:tblGrid>
      <w:tr>
        <w:tc>
          <w:tcPr>
            <w:tcW w:type="dxa" w:w="10080"/>
            <w:shd w:val="clear" w:color="auto" w:fill="FFF3F3"/>
            <w:tcBorders>
              <w:top w:val="single" w:sz="4" w:space="0" w:color="AAAAAA"/>
              <w:bottom w:val="single" w:sz="4" w:space="0" w:color="AAAAAA"/>
              <w:left w:val="single" w:sz="4" w:space="0" w:color="AAAAAA"/>
              <w:right w:val="single" w:sz="4" w:space="0" w:color="AAAAAA"/>
            </w:tcBorders>
          </w:tcPr>
          <w:p>
            <w:pPr>
              <w:spacing w:before="60" w:after="60"/>
            </w:pPr>
            <w:r>
              <w:rPr>
                <w:rFonts w:ascii="Arial" w:hAnsi="Arial"/>
                <w:b/>
                <w:i w:val="0"/>
                <w:color w:val="A40000"/>
                <w:sz w:val="18"/>
              </w:rPr>
              <w:t xml:space="preserve">Note: </w:t>
            </w:r>
            <w:r>
              <w:rPr>
                <w:rFonts w:ascii="Arial" w:hAnsi="Arial"/>
                <w:b w:val="0"/>
                <w:i w:val="0"/>
                <w:color w:val="2D2826"/>
                <w:sz w:val="20"/>
              </w:rPr>
              <w:t>Multiple charts of accounts can be set up. Once saved, the chart of accounts name cannot be modified. To remove a chart of accounts, select the Deactivate checkbox.</w:t>
            </w:r>
          </w:p>
        </w:tc>
      </w:tr>
    </w:tbl>
    <w:p>
      <w:pPr>
        <w:spacing w:before="0" w:after="80"/>
      </w:pPr>
    </w:p>
    <w:p>
      <w:pPr>
        <w:spacing w:before="240" w:after="80"/>
      </w:pPr>
      <w:r>
        <w:rPr>
          <w:rFonts w:ascii="Arial" w:hAnsi="Arial"/>
          <w:b/>
          <w:i w:val="0"/>
          <w:color w:val="F4333F"/>
          <w:sz w:val="36"/>
        </w:rPr>
        <w:t>Account Code Settings</w:t>
      </w:r>
    </w:p>
    <w:p>
      <w:pPr>
        <w:spacing w:before="0" w:after="80"/>
      </w:pPr>
      <w:r>
        <w:rPr>
          <w:rFonts w:ascii="Arial" w:hAnsi="Arial"/>
          <w:b w:val="0"/>
          <w:i w:val="0"/>
          <w:color w:val="2D2826"/>
          <w:sz w:val="24"/>
        </w:rPr>
        <w:t>Define the segment structure for each Chart of Accounts.</w:t>
      </w:r>
    </w:p>
    <w:p>
      <w:pPr>
        <w:spacing w:before="80" w:after="40"/>
      </w:pPr>
      <w:r>
        <w:rPr>
          <w:rFonts w:ascii="Arial" w:hAnsi="Arial"/>
          <w:b/>
          <w:i w:val="0"/>
          <w:color w:val="2D2826"/>
          <w:sz w:val="24"/>
        </w:rPr>
        <w:t xml:space="preserve">Navigation: </w:t>
      </w:r>
      <w:r>
        <w:rPr>
          <w:rFonts w:ascii="Arial" w:hAnsi="Arial"/>
          <w:b w:val="0"/>
          <w:i/>
          <w:color w:val="2D2826"/>
          <w:sz w:val="22"/>
        </w:rPr>
        <w:t>Menu &gt; Admin &gt; Select Function &gt; Account Code Configuration &gt; Account Code Settings</w:t>
      </w:r>
    </w:p>
    <w:p>
      <w:pPr>
        <w:spacing w:before="40" w:after="40"/>
        <w:ind w:left="360" w:hanging="360"/>
      </w:pPr>
      <w:r>
        <w:rPr>
          <w:rFonts w:ascii="Arial" w:hAnsi="Arial"/>
          <w:b/>
          <w:i w:val="0"/>
          <w:color w:val="2D2826"/>
          <w:sz w:val="24"/>
        </w:rPr>
        <w:t xml:space="preserve">1. </w:t>
      </w:r>
      <w:r>
        <w:rPr>
          <w:rFonts w:ascii="Arial" w:hAnsi="Arial"/>
          <w:b w:val="0"/>
          <w:i w:val="0"/>
          <w:color w:val="2D2826"/>
          <w:sz w:val="24"/>
        </w:rPr>
        <w:t>Select the Chart of Accounts from the Charts field, then select the Go button.</w:t>
      </w:r>
    </w:p>
    <w:p>
      <w:pPr>
        <w:spacing w:before="40" w:after="40"/>
        <w:ind w:left="360" w:hanging="360"/>
      </w:pPr>
      <w:r>
        <w:rPr>
          <w:rFonts w:ascii="Arial" w:hAnsi="Arial"/>
          <w:b/>
          <w:i w:val="0"/>
          <w:color w:val="2D2826"/>
          <w:sz w:val="24"/>
        </w:rPr>
        <w:t xml:space="preserve">2. </w:t>
      </w:r>
      <w:r>
        <w:rPr>
          <w:rFonts w:ascii="Arial" w:hAnsi="Arial"/>
          <w:b w:val="0"/>
          <w:i w:val="0"/>
          <w:color w:val="2D2826"/>
          <w:sz w:val="24"/>
        </w:rPr>
        <w:t>Define the segments. The following fields are required:</w:t>
      </w:r>
    </w:p>
    <w:p>
      <w:pPr>
        <w:spacing w:before="0" w:after="40"/>
        <w:ind w:left="720" w:hanging="180"/>
      </w:pPr>
      <w:r>
        <w:rPr>
          <w:rFonts w:ascii="Arial" w:hAnsi="Arial"/>
          <w:b w:val="0"/>
          <w:i w:val="0"/>
          <w:color w:val="2D2826"/>
          <w:sz w:val="24"/>
        </w:rPr>
        <w:t>•  Segment Name</w:t>
      </w:r>
    </w:p>
    <w:p>
      <w:pPr>
        <w:spacing w:before="0" w:after="40"/>
        <w:ind w:left="720" w:hanging="180"/>
      </w:pPr>
      <w:r>
        <w:rPr>
          <w:rFonts w:ascii="Arial" w:hAnsi="Arial"/>
          <w:b w:val="0"/>
          <w:i w:val="0"/>
          <w:color w:val="2D2826"/>
          <w:sz w:val="24"/>
        </w:rPr>
        <w:t>•  Segment Type</w:t>
      </w:r>
    </w:p>
    <w:p>
      <w:pPr>
        <w:spacing w:before="0" w:after="40"/>
        <w:ind w:left="720" w:hanging="180"/>
      </w:pPr>
      <w:r>
        <w:rPr>
          <w:rFonts w:ascii="Arial" w:hAnsi="Arial"/>
          <w:b w:val="0"/>
          <w:i w:val="0"/>
          <w:color w:val="2D2826"/>
          <w:sz w:val="24"/>
        </w:rPr>
        <w:t>•  Required by GL</w:t>
      </w:r>
    </w:p>
    <w:p>
      <w:pPr>
        <w:spacing w:before="40" w:after="40"/>
        <w:ind w:left="360" w:hanging="360"/>
      </w:pPr>
      <w:r>
        <w:rPr>
          <w:rFonts w:ascii="Arial" w:hAnsi="Arial"/>
          <w:b/>
          <w:i w:val="0"/>
          <w:color w:val="2D2826"/>
          <w:sz w:val="24"/>
        </w:rPr>
        <w:t xml:space="preserve">3. </w:t>
      </w:r>
      <w:r>
        <w:rPr>
          <w:rFonts w:ascii="Arial" w:hAnsi="Arial"/>
          <w:b w:val="0"/>
          <w:i w:val="0"/>
          <w:color w:val="2D2826"/>
          <w:sz w:val="24"/>
        </w:rPr>
        <w:t>Select the Update button to save.</w:t>
      </w:r>
    </w:p>
    <w:tbl>
      <w:tblPr>
        <w:tblW w:type="auto" w:w="0"/>
        <w:tblLook w:firstColumn="1" w:firstRow="1" w:lastColumn="0" w:lastRow="0" w:noHBand="0" w:noVBand="1" w:val="04A0"/>
      </w:tblPr>
      <w:tblGrid>
        <w:gridCol w:w="10080"/>
      </w:tblGrid>
      <w:tr>
        <w:tc>
          <w:tcPr>
            <w:tcW w:type="dxa" w:w="10080"/>
            <w:shd w:val="clear" w:color="auto" w:fill="FFF3F3"/>
            <w:tcBorders>
              <w:top w:val="single" w:sz="4" w:space="0" w:color="AAAAAA"/>
              <w:bottom w:val="single" w:sz="4" w:space="0" w:color="AAAAAA"/>
              <w:left w:val="single" w:sz="4" w:space="0" w:color="AAAAAA"/>
              <w:right w:val="single" w:sz="4" w:space="0" w:color="AAAAAA"/>
            </w:tcBorders>
          </w:tcPr>
          <w:p>
            <w:pPr>
              <w:spacing w:before="60" w:after="60"/>
            </w:pPr>
            <w:r>
              <w:rPr>
                <w:rFonts w:ascii="Arial" w:hAnsi="Arial"/>
                <w:b/>
                <w:i w:val="0"/>
                <w:color w:val="A40000"/>
                <w:sz w:val="18"/>
              </w:rPr>
              <w:t xml:space="preserve">Note: </w:t>
            </w:r>
            <w:r>
              <w:rPr>
                <w:rFonts w:ascii="Arial" w:hAnsi="Arial"/>
                <w:b w:val="0"/>
                <w:i w:val="0"/>
                <w:color w:val="2D2826"/>
                <w:sz w:val="20"/>
              </w:rPr>
              <w:t>The Chart of Accounts must be set up before segments can be defined. Each Chart of Accounts may have up to 9 segments. If integrated with your institution’s ERP system, select Yes in the Required by GL field for each segment the ERP requires.</w:t>
            </w:r>
          </w:p>
        </w:tc>
      </w:tr>
    </w:tbl>
    <w:p>
      <w:pPr>
        <w:spacing w:before="0" w:after="80"/>
      </w:pPr>
    </w:p>
    <w:p>
      <w:pPr>
        <w:spacing w:before="240" w:after="80"/>
      </w:pPr>
      <w:r>
        <w:rPr>
          <w:rFonts w:ascii="Arial" w:hAnsi="Arial"/>
          <w:b/>
          <w:i w:val="0"/>
          <w:color w:val="F4333F"/>
          <w:sz w:val="36"/>
        </w:rPr>
        <w:t>Import Account Codes</w:t>
      </w:r>
    </w:p>
    <w:p>
      <w:pPr>
        <w:spacing w:before="0" w:after="80"/>
      </w:pPr>
      <w:r>
        <w:rPr>
          <w:rFonts w:ascii="Arial" w:hAnsi="Arial"/>
          <w:b w:val="0"/>
          <w:i w:val="0"/>
          <w:color w:val="2D2826"/>
          <w:sz w:val="24"/>
        </w:rPr>
        <w:t>Bulk-load or update GL Acct Code records using Import Management.</w:t>
      </w:r>
    </w:p>
    <w:p>
      <w:pPr>
        <w:spacing w:before="80" w:after="40"/>
      </w:pPr>
      <w:r>
        <w:rPr>
          <w:rFonts w:ascii="Arial" w:hAnsi="Arial"/>
          <w:b/>
          <w:i w:val="0"/>
          <w:color w:val="2D2826"/>
          <w:sz w:val="24"/>
        </w:rPr>
        <w:t xml:space="preserve">Navigation: </w:t>
      </w:r>
      <w:r>
        <w:rPr>
          <w:rFonts w:ascii="Arial" w:hAnsi="Arial"/>
          <w:b w:val="0"/>
          <w:i/>
          <w:color w:val="2D2826"/>
          <w:sz w:val="22"/>
        </w:rPr>
        <w:t>Menu &gt; Admin &gt; Select Function &gt; Import Management &gt; Import Templates  or  Menu &gt; Admin &gt; Select Function &gt; Account Code Configuration &gt; Import Account Codes</w:t>
      </w:r>
    </w:p>
    <w:p>
      <w:pPr>
        <w:spacing w:before="40" w:after="40"/>
        <w:ind w:left="360" w:hanging="360"/>
      </w:pPr>
      <w:r>
        <w:rPr>
          <w:rFonts w:ascii="Arial" w:hAnsi="Arial"/>
          <w:b/>
          <w:i w:val="0"/>
          <w:color w:val="2D2826"/>
          <w:sz w:val="24"/>
        </w:rPr>
        <w:t xml:space="preserve">1. </w:t>
      </w:r>
      <w:r>
        <w:rPr>
          <w:rFonts w:ascii="Arial" w:hAnsi="Arial"/>
          <w:b w:val="0"/>
          <w:i w:val="0"/>
          <w:color w:val="2D2826"/>
          <w:sz w:val="24"/>
        </w:rPr>
        <w:t>Select "Account Code" from the Template Type field.</w:t>
      </w:r>
    </w:p>
    <w:p>
      <w:pPr>
        <w:spacing w:before="40" w:after="40"/>
        <w:ind w:left="360" w:hanging="360"/>
      </w:pPr>
      <w:r>
        <w:rPr>
          <w:rFonts w:ascii="Arial" w:hAnsi="Arial"/>
          <w:b/>
          <w:i w:val="0"/>
          <w:color w:val="2D2826"/>
          <w:sz w:val="24"/>
        </w:rPr>
        <w:t xml:space="preserve">2. </w:t>
      </w:r>
      <w:r>
        <w:rPr>
          <w:rFonts w:ascii="Arial" w:hAnsi="Arial"/>
          <w:b w:val="0"/>
          <w:i w:val="0"/>
          <w:color w:val="2D2826"/>
          <w:sz w:val="24"/>
        </w:rPr>
        <w:t>Download the Account Code Template. The following fields are required:</w:t>
      </w:r>
    </w:p>
    <w:p>
      <w:pPr>
        <w:spacing w:before="0" w:after="40"/>
        <w:ind w:left="720" w:hanging="180"/>
      </w:pPr>
      <w:r>
        <w:rPr>
          <w:rFonts w:ascii="Arial" w:hAnsi="Arial"/>
          <w:b w:val="0"/>
          <w:i w:val="0"/>
          <w:color w:val="2D2826"/>
          <w:sz w:val="24"/>
        </w:rPr>
        <w:t>•  Chart Name — must match a Chart of Accounts name already set up in the system</w:t>
      </w:r>
    </w:p>
    <w:p>
      <w:pPr>
        <w:spacing w:before="0" w:after="40"/>
        <w:ind w:left="720" w:hanging="180"/>
      </w:pPr>
      <w:r>
        <w:rPr>
          <w:rFonts w:ascii="Arial" w:hAnsi="Arial"/>
          <w:b w:val="0"/>
          <w:i w:val="0"/>
          <w:color w:val="2D2826"/>
          <w:sz w:val="24"/>
        </w:rPr>
        <w:t>•  Segment Name — must match a segment name defined in Account Code Settings</w:t>
      </w:r>
    </w:p>
    <w:p>
      <w:pPr>
        <w:spacing w:before="0" w:after="40"/>
        <w:ind w:left="720" w:hanging="180"/>
      </w:pPr>
      <w:r>
        <w:rPr>
          <w:rFonts w:ascii="Arial" w:hAnsi="Arial"/>
          <w:b w:val="0"/>
          <w:i w:val="0"/>
          <w:color w:val="2D2826"/>
          <w:sz w:val="24"/>
        </w:rPr>
        <w:t>•  Segment Value — must match your institution’s ERP segment code if integrated</w:t>
      </w:r>
    </w:p>
    <w:p>
      <w:pPr>
        <w:spacing w:before="40" w:after="40"/>
        <w:ind w:left="360" w:hanging="360"/>
      </w:pPr>
      <w:r>
        <w:rPr>
          <w:rFonts w:ascii="Arial" w:hAnsi="Arial"/>
          <w:b/>
          <w:i w:val="0"/>
          <w:color w:val="2D2826"/>
          <w:sz w:val="24"/>
        </w:rPr>
        <w:t xml:space="preserve">3. </w:t>
      </w:r>
      <w:r>
        <w:rPr>
          <w:rFonts w:ascii="Arial" w:hAnsi="Arial"/>
          <w:b w:val="0"/>
          <w:i w:val="0"/>
          <w:color w:val="2D2826"/>
          <w:sz w:val="24"/>
        </w:rPr>
        <w:t>Create and save the Account Code data file.</w:t>
      </w:r>
    </w:p>
    <w:p>
      <w:pPr>
        <w:spacing w:before="40" w:after="40"/>
        <w:ind w:left="360" w:hanging="360"/>
      </w:pPr>
      <w:r>
        <w:rPr>
          <w:rFonts w:ascii="Arial" w:hAnsi="Arial"/>
          <w:b/>
          <w:i w:val="0"/>
          <w:color w:val="2D2826"/>
          <w:sz w:val="24"/>
        </w:rPr>
        <w:t xml:space="preserve">4. </w:t>
      </w:r>
      <w:r>
        <w:rPr>
          <w:rFonts w:ascii="Arial" w:hAnsi="Arial"/>
          <w:b w:val="0"/>
          <w:i w:val="0"/>
          <w:color w:val="2D2826"/>
          <w:sz w:val="24"/>
        </w:rPr>
        <w:t>Select the import parameters and the Account Code data file.</w:t>
      </w:r>
    </w:p>
    <w:p>
      <w:pPr>
        <w:spacing w:before="40" w:after="40"/>
        <w:ind w:left="360" w:hanging="360"/>
      </w:pPr>
      <w:r>
        <w:rPr>
          <w:rFonts w:ascii="Arial" w:hAnsi="Arial"/>
          <w:b/>
          <w:i w:val="0"/>
          <w:color w:val="2D2826"/>
          <w:sz w:val="24"/>
        </w:rPr>
        <w:t xml:space="preserve">5. </w:t>
      </w:r>
      <w:r>
        <w:rPr>
          <w:rFonts w:ascii="Arial" w:hAnsi="Arial"/>
          <w:b w:val="0"/>
          <w:i w:val="0"/>
          <w:color w:val="2D2826"/>
          <w:sz w:val="24"/>
        </w:rPr>
        <w:t>Select Update to start the import process.</w:t>
      </w:r>
    </w:p>
    <w:tbl>
      <w:tblPr>
        <w:tblW w:type="auto" w:w="0"/>
        <w:tblLook w:firstColumn="1" w:firstRow="1" w:lastColumn="0" w:lastRow="0" w:noHBand="0" w:noVBand="1" w:val="04A0"/>
      </w:tblPr>
      <w:tblGrid>
        <w:gridCol w:w="10080"/>
      </w:tblGrid>
      <w:tr>
        <w:tc>
          <w:tcPr>
            <w:tcW w:type="dxa" w:w="10080"/>
            <w:shd w:val="clear" w:color="auto" w:fill="FFF3F3"/>
            <w:tcBorders>
              <w:top w:val="single" w:sz="4" w:space="0" w:color="AAAAAA"/>
              <w:bottom w:val="single" w:sz="4" w:space="0" w:color="AAAAAA"/>
              <w:left w:val="single" w:sz="4" w:space="0" w:color="AAAAAA"/>
              <w:right w:val="single" w:sz="4" w:space="0" w:color="AAAAAA"/>
            </w:tcBorders>
          </w:tcPr>
          <w:p>
            <w:pPr>
              <w:spacing w:before="60" w:after="60"/>
            </w:pPr>
            <w:r>
              <w:rPr>
                <w:rFonts w:ascii="Arial" w:hAnsi="Arial"/>
                <w:b/>
                <w:i w:val="0"/>
                <w:color w:val="A40000"/>
                <w:sz w:val="18"/>
              </w:rPr>
              <w:t xml:space="preserve">Note: </w:t>
            </w:r>
            <w:r>
              <w:rPr>
                <w:rFonts w:ascii="Arial" w:hAnsi="Arial"/>
                <w:b w:val="0"/>
                <w:i w:val="0"/>
                <w:color w:val="2D2826"/>
                <w:sz w:val="20"/>
              </w:rPr>
              <w:t>Select Update to update matching records without affecting records not in the file. Select Replace to replace all account code records with the file data. Imported data files are processed nightly. If your institution’s ERP system provides account code data synchronization, add or remove records through the ERP sync process rather than directly in ESM Purchase™.</w:t>
            </w:r>
          </w:p>
        </w:tc>
      </w:tr>
    </w:tbl>
    <w:p>
      <w:pPr>
        <w:spacing w:before="0" w:after="80"/>
      </w:pPr>
    </w:p>
    <w:tbl>
      <w:tblPr>
        <w:tblW w:type="auto" w:w="0"/>
        <w:tblLook w:firstColumn="1" w:firstRow="1" w:lastColumn="0" w:lastRow="0" w:noHBand="0" w:noVBand="1" w:val="04A0"/>
      </w:tblPr>
      <w:tblGrid>
        <w:gridCol w:w="10080"/>
      </w:tblGrid>
      <w:tr>
        <w:tc>
          <w:tcPr>
            <w:tcW w:type="dxa" w:w="10080"/>
            <w:shd w:val="clear" w:color="auto" w:fill="FFF3F3"/>
            <w:tcBorders>
              <w:top w:val="single" w:sz="4" w:space="0" w:color="AAAAAA"/>
              <w:bottom w:val="single" w:sz="4" w:space="0" w:color="AAAAAA"/>
              <w:left w:val="single" w:sz="4" w:space="0" w:color="AAAAAA"/>
              <w:right w:val="single" w:sz="4" w:space="0" w:color="AAAAAA"/>
            </w:tcBorders>
          </w:tcPr>
          <w:p>
            <w:pPr>
              <w:spacing w:before="60" w:after="60"/>
            </w:pPr>
            <w:r>
              <w:rPr>
                <w:rFonts w:ascii="Arial" w:hAnsi="Arial"/>
                <w:b/>
                <w:i w:val="0"/>
                <w:color w:val="A40000"/>
                <w:sz w:val="18"/>
              </w:rPr>
              <w:t xml:space="preserve">NOTE </w:t>
            </w:r>
            <w:r>
              <w:rPr>
                <w:rFonts w:ascii="Arial" w:hAnsi="Arial"/>
                <w:b w:val="0"/>
                <w:i w:val="0"/>
                <w:color w:val="2D2826"/>
                <w:sz w:val="20"/>
              </w:rPr>
              <w:t>✓ You’re done when: GL Acct Code records are saved in the system and available for selection on purchase requisitions.</w:t>
            </w:r>
          </w:p>
        </w:tc>
      </w:tr>
    </w:tbl>
    <w:sectPr w:rsidR="00FC693F" w:rsidRPr="0006063C" w:rsidSect="00034616">
      <w:headerReference w:type="default" r:id="rId9"/>
      <w:footerReference w:type="default" r:id="rId10"/>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Arial" w:hAnsi="Arial"/>
        <w:b w:val="0"/>
        <w:i w:val="0"/>
        <w:color w:val="686468"/>
        <w:sz w:val="18"/>
      </w:rPr>
      <w:t>© 2026 ESM Solutions Corporation | PROPRIETARY &amp; CONFIDENTIAL | ESM Implementation Services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Arial" w:hAnsi="Arial"/>
        <w:b w:val="0"/>
        <w:i w:val="0"/>
        <w:color w:val="686468"/>
        <w:sz w:val="18"/>
      </w:rPr>
      <w:t>Manage Account Codes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lang w:val="en-U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ntTable" Target="fontTable.xml"/><Relationship Id="rId12" Type="http://schemas.openxmlformats.org/officeDocument/2006/relationships/customXml" Target="../customXml/item3.xml"/><Relationship Id="rId2" Type="http://schemas.openxmlformats.org/officeDocument/2006/relationships/numbering" Target="numbering.xml"/><Relationship Id="rId6" Type="http://schemas.openxmlformats.org/officeDocument/2006/relationships/webSettings" Target="webSettings.xml"/><Relationship Id="rId1" Type="http://schemas.openxmlformats.org/officeDocument/2006/relationships/customXml" Target="../customXml/item1.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E6AB25F8633CE41BE0CFCF3DC5F17CC" ma:contentTypeVersion="17" ma:contentTypeDescription="Create a new document." ma:contentTypeScope="" ma:versionID="e9009658be88358e0d97d7026e8cc929">
  <xsd:schema xmlns:xsd="http://www.w3.org/2001/XMLSchema" xmlns:xs="http://www.w3.org/2001/XMLSchema" xmlns:p="http://schemas.microsoft.com/office/2006/metadata/properties" xmlns:ns1="http://schemas.microsoft.com/sharepoint/v3" xmlns:ns2="c3794222-982d-4094-a237-335122da60d6" xmlns:ns3="896f54bc-1228-4d3c-9f6a-389a54d834f2" targetNamespace="http://schemas.microsoft.com/office/2006/metadata/properties" ma:root="true" ma:fieldsID="c5d8ca03e3e7b1789be2d2e8d1d40504" ns1:_="" ns2:_="" ns3:_="">
    <xsd:import namespace="http://schemas.microsoft.com/sharepoint/v3"/>
    <xsd:import namespace="c3794222-982d-4094-a237-335122da60d6"/>
    <xsd:import namespace="896f54bc-1228-4d3c-9f6a-389a54d834f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794222-982d-4094-a237-335122da60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fe3fc5e-ebc5-4067-97c8-de4b71dd633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6f54bc-1228-4d3c-9f6a-389a54d834f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7e0a03d-0775-48d6-9314-44e3484788fb}" ma:internalName="TaxCatchAll" ma:showField="CatchAllData" ma:web="896f54bc-1228-4d3c-9f6a-389a54d834f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3794222-982d-4094-a237-335122da60d6">
      <Terms xmlns="http://schemas.microsoft.com/office/infopath/2007/PartnerControls"/>
    </lcf76f155ced4ddcb4097134ff3c332f>
    <_ip_UnifiedCompliancePolicyProperties xmlns="http://schemas.microsoft.com/sharepoint/v3" xsi:nil="true"/>
    <TaxCatchAll xmlns="896f54bc-1228-4d3c-9f6a-389a54d834f2"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650BBFD0-A50E-478F-AC39-9B4223680D01}"/>
</file>

<file path=customXml/itemProps3.xml><?xml version="1.0" encoding="utf-8"?>
<ds:datastoreItem xmlns:ds="http://schemas.openxmlformats.org/officeDocument/2006/customXml" ds:itemID="{594695A7-E881-4FB1-AC97-52DCEF3EA0C2}"/>
</file>

<file path=customXml/itemProps4.xml><?xml version="1.0" encoding="utf-8"?>
<ds:datastoreItem xmlns:ds="http://schemas.openxmlformats.org/officeDocument/2006/customXml" ds:itemID="{35FB9F24-4722-4596-B7A5-AEE558275F95}"/>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0x0101001E6AB25F8633CE41BE0CFCF3DC5F17CC</vt:lpwstr>
  </property>
</Properties>
</file>