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pPr>
      <w:r>
        <w:rPr>
          <w:rFonts w:ascii="Arial" w:hAnsi="Arial"/>
          <w:b/>
          <w:i w:val="0"/>
          <w:color w:val="2D2826"/>
          <w:sz w:val="56"/>
        </w:rPr>
        <w:t>Understanding User Roles: Shopper, Requester, Approver &amp; Administrator</w:t>
      </w:r>
    </w:p>
    <w:p>
      <w:pPr>
        <w:spacing w:before="0" w:after="40"/>
      </w:pPr>
      <w:r>
        <w:rPr>
          <w:rFonts w:ascii="Arial" w:hAnsi="Arial"/>
          <w:b w:val="0"/>
          <w:i w:val="0"/>
          <w:color w:val="686468"/>
          <w:sz w:val="32"/>
        </w:rPr>
        <w:t>ESM Purchase™ ESM Consumer Role™</w:t>
      </w:r>
    </w:p>
    <w:p>
      <w:pPr>
        <w:spacing w:before="0" w:after="120"/>
        <w:pBdr>
          <w:bottom w:val="single" w:sz="4" w:space="4" w:color="686468"/>
        </w:pBdr>
      </w:pPr>
      <w:r>
        <w:rPr>
          <w:rFonts w:ascii="Arial" w:hAnsi="Arial"/>
          <w:b w:val="0"/>
          <w:i w:val="0"/>
          <w:color w:val="686468"/>
          <w:sz w:val="20"/>
        </w:rPr>
        <w:t>[Institution] › All Users  |  August 2026</w:t>
      </w:r>
    </w:p>
    <w:p>
      <w:pPr>
        <w:spacing w:before="0" w:after="80"/>
      </w:pPr>
    </w:p>
    <w:p>
      <w:pPr>
        <w:spacing w:before="0" w:after="80"/>
      </w:pPr>
      <w:r>
        <w:rPr>
          <w:rFonts w:ascii="Arial" w:hAnsi="Arial"/>
          <w:b w:val="0"/>
          <w:i w:val="0"/>
          <w:color w:val="2D2826"/>
          <w:sz w:val="24"/>
        </w:rPr>
        <w:t>Purpose: This guide compares what the four core roles — Shopper, Requester, Approver, and Administrator — can and cannot do in ESM Purchase™ ESM Consumer Role™, so users and administrators can quickly confirm the right role for a given task.</w:t>
      </w:r>
    </w:p>
    <w:p>
      <w:pPr>
        <w:spacing w:before="160" w:after="40"/>
      </w:pPr>
      <w:r>
        <w:rPr>
          <w:rFonts w:ascii="Arial" w:hAnsi="Arial"/>
          <w:b/>
          <w:i w:val="0"/>
          <w:color w:val="F4333F"/>
          <w:sz w:val="28"/>
        </w:rPr>
        <w:t>Before you begin:</w:t>
      </w:r>
    </w:p>
    <w:p>
      <w:pPr>
        <w:spacing w:before="0" w:after="40"/>
      </w:pPr>
      <w:r>
        <w:rPr>
          <w:rFonts w:ascii="Arial" w:hAnsi="Arial"/>
          <w:b/>
          <w:i w:val="0"/>
          <w:color w:val="2D2826"/>
          <w:sz w:val="24"/>
        </w:rPr>
        <w:t xml:space="preserve">1) </w:t>
      </w:r>
      <w:r>
        <w:rPr>
          <w:rFonts w:ascii="Arial" w:hAnsi="Arial"/>
          <w:b w:val="0"/>
          <w:i w:val="0"/>
          <w:color w:val="2D2826"/>
          <w:sz w:val="24"/>
        </w:rPr>
        <w:t>You are logged into ESM Purchase™ ESM Consumer Role™ (see How to Log Into ESM).</w:t>
      </w:r>
    </w:p>
    <w:p>
      <w:pPr>
        <w:spacing w:before="0" w:after="40"/>
      </w:pPr>
      <w:r>
        <w:rPr>
          <w:rFonts w:ascii="Arial" w:hAnsi="Arial"/>
          <w:b/>
          <w:i w:val="0"/>
          <w:color w:val="2D2826"/>
          <w:sz w:val="24"/>
        </w:rPr>
        <w:t xml:space="preserve">2) </w:t>
      </w:r>
      <w:r>
        <w:rPr>
          <w:rFonts w:ascii="Arial" w:hAnsi="Arial"/>
          <w:b w:val="0"/>
          <w:i w:val="0"/>
          <w:color w:val="2D2826"/>
          <w:sz w:val="24"/>
        </w:rPr>
        <w:t>You know your own assigned role, or you are an administrator preparing to assign or update a user's role.</w:t>
      </w:r>
    </w:p>
    <w:p>
      <w:pPr>
        <w:spacing w:before="240" w:after="80"/>
      </w:pPr>
      <w:r>
        <w:rPr>
          <w:rFonts w:ascii="Arial" w:hAnsi="Arial"/>
          <w:b/>
          <w:i w:val="0"/>
          <w:color w:val="F4333F"/>
          <w:sz w:val="36"/>
        </w:rPr>
        <w:t>Steps — Comparing the Four Roles</w:t>
      </w:r>
    </w:p>
    <w:p>
      <w:pPr>
        <w:spacing w:before="0" w:after="80"/>
      </w:pPr>
      <w:r>
        <w:rPr>
          <w:rFonts w:ascii="Arial" w:hAnsi="Arial"/>
          <w:b w:val="0"/>
          <w:i w:val="0"/>
          <w:color w:val="2D2826"/>
          <w:sz w:val="24"/>
        </w:rPr>
        <w:t>Shopper, Requester, and Approver are cumulative — each role includes everything the role before it can do, plus one additional capability. Administrator is a separate track focused on system configuration rather than transacting.</w:t>
      </w:r>
    </w:p>
    <w:tbl>
      <w:tblPr>
        <w:tblStyle w:val="TableGrid"/>
        <w:tblW w:type="auto" w:w="0"/>
        <w:tblLook w:firstColumn="1" w:firstRow="1" w:lastColumn="0" w:lastRow="0" w:noHBand="0" w:noVBand="1" w:val="04A0"/>
      </w:tblPr>
      <w:tblGrid>
        <w:gridCol w:w="1680"/>
        <w:gridCol w:w="1680"/>
        <w:gridCol w:w="1680"/>
        <w:gridCol w:w="1680"/>
        <w:gridCol w:w="1680"/>
        <w:gridCol w:w="1680"/>
      </w:tblGrid>
      <w:tr>
        <w:trPr>
          <w:tblHeader/>
        </w:trPr>
        <w:tc>
          <w:tcPr>
            <w:tcW w:type="dxa" w:w="1680"/>
          </w:tcPr>
          <w:p>
            <w:r>
              <w:rPr>
                <w:rFonts w:ascii="Arial" w:hAnsi="Arial"/>
                <w:b/>
                <w:i w:val="0"/>
                <w:color w:val="F4333F"/>
                <w:sz w:val="22"/>
              </w:rPr>
              <w:t>Role</w:t>
            </w:r>
          </w:p>
        </w:tc>
        <w:tc>
          <w:tcPr>
            <w:tcW w:type="dxa" w:w="1680"/>
          </w:tcPr>
          <w:p>
            <w:r>
              <w:rPr>
                <w:rFonts w:ascii="Arial" w:hAnsi="Arial"/>
                <w:b/>
                <w:i w:val="0"/>
                <w:color w:val="F4333F"/>
                <w:sz w:val="22"/>
              </w:rPr>
              <w:t>Browse &amp; Add to Cart</w:t>
            </w:r>
          </w:p>
        </w:tc>
        <w:tc>
          <w:tcPr>
            <w:tcW w:type="dxa" w:w="1680"/>
          </w:tcPr>
          <w:p>
            <w:r>
              <w:rPr>
                <w:rFonts w:ascii="Arial" w:hAnsi="Arial"/>
                <w:b/>
                <w:i w:val="0"/>
                <w:color w:val="F4333F"/>
                <w:sz w:val="22"/>
              </w:rPr>
              <w:t>Submit Requisitions</w:t>
            </w:r>
          </w:p>
        </w:tc>
        <w:tc>
          <w:tcPr>
            <w:tcW w:type="dxa" w:w="1680"/>
          </w:tcPr>
          <w:p>
            <w:r>
              <w:rPr>
                <w:rFonts w:ascii="Arial" w:hAnsi="Arial"/>
                <w:b/>
                <w:i w:val="0"/>
                <w:color w:val="F4333F"/>
                <w:sz w:val="22"/>
              </w:rPr>
              <w:t>Approve / Reject Requests</w:t>
            </w:r>
          </w:p>
        </w:tc>
        <w:tc>
          <w:tcPr>
            <w:tcW w:type="dxa" w:w="1680"/>
          </w:tcPr>
          <w:p>
            <w:r>
              <w:rPr>
                <w:rFonts w:ascii="Arial" w:hAnsi="Arial"/>
                <w:b/>
                <w:i w:val="0"/>
                <w:color w:val="F4333F"/>
                <w:sz w:val="22"/>
              </w:rPr>
              <w:t>Invite &amp; Manage Users</w:t>
            </w:r>
          </w:p>
        </w:tc>
        <w:tc>
          <w:tcPr>
            <w:tcW w:type="dxa" w:w="1680"/>
          </w:tcPr>
          <w:p>
            <w:r>
              <w:rPr>
                <w:rFonts w:ascii="Arial" w:hAnsi="Arial"/>
                <w:b/>
                <w:i w:val="0"/>
                <w:color w:val="F4333F"/>
                <w:sz w:val="22"/>
              </w:rPr>
              <w:t>Configure Entity Settings</w:t>
            </w:r>
          </w:p>
        </w:tc>
      </w:tr>
      <w:tr>
        <w:tc>
          <w:tcPr>
            <w:tcW w:type="dxa" w:w="1680"/>
          </w:tcPr>
          <w:p>
            <w:r>
              <w:rPr>
                <w:rFonts w:ascii="Arial" w:hAnsi="Arial"/>
                <w:b w:val="0"/>
                <w:i w:val="0"/>
                <w:color w:val="2D2826"/>
                <w:sz w:val="22"/>
              </w:rPr>
              <w:t>Shopper</w:t>
            </w:r>
          </w:p>
        </w:tc>
        <w:tc>
          <w:tcPr>
            <w:tcW w:type="dxa" w:w="1680"/>
          </w:tcPr>
          <w:p>
            <w:r>
              <w:rPr>
                <w:rFonts w:ascii="Arial" w:hAnsi="Arial"/>
                <w:b w:val="0"/>
                <w:i w:val="0"/>
                <w:color w:val="2D2826"/>
                <w:sz w:val="22"/>
              </w:rPr>
              <w:t>Yes</w:t>
            </w:r>
          </w:p>
        </w:tc>
        <w:tc>
          <w:tcPr>
            <w:tcW w:type="dxa" w:w="1680"/>
          </w:tcPr>
          <w:p>
            <w:r>
              <w:rPr>
                <w:rFonts w:ascii="Arial" w:hAnsi="Arial"/>
                <w:b w:val="0"/>
                <w:i w:val="0"/>
                <w:color w:val="2D2826"/>
                <w:sz w:val="22"/>
              </w:rPr>
              <w:t>No</w:t>
            </w:r>
          </w:p>
        </w:tc>
        <w:tc>
          <w:tcPr>
            <w:tcW w:type="dxa" w:w="1680"/>
          </w:tcPr>
          <w:p>
            <w:r>
              <w:rPr>
                <w:rFonts w:ascii="Arial" w:hAnsi="Arial"/>
                <w:b w:val="0"/>
                <w:i w:val="0"/>
                <w:color w:val="2D2826"/>
                <w:sz w:val="22"/>
              </w:rPr>
              <w:t>No</w:t>
            </w:r>
          </w:p>
        </w:tc>
        <w:tc>
          <w:tcPr>
            <w:tcW w:type="dxa" w:w="1680"/>
          </w:tcPr>
          <w:p>
            <w:r>
              <w:rPr>
                <w:rFonts w:ascii="Arial" w:hAnsi="Arial"/>
                <w:b w:val="0"/>
                <w:i w:val="0"/>
                <w:color w:val="2D2826"/>
                <w:sz w:val="22"/>
              </w:rPr>
              <w:t>No</w:t>
            </w:r>
          </w:p>
        </w:tc>
        <w:tc>
          <w:tcPr>
            <w:tcW w:type="dxa" w:w="1680"/>
          </w:tcPr>
          <w:p>
            <w:r>
              <w:rPr>
                <w:rFonts w:ascii="Arial" w:hAnsi="Arial"/>
                <w:b w:val="0"/>
                <w:i w:val="0"/>
                <w:color w:val="2D2826"/>
                <w:sz w:val="22"/>
              </w:rPr>
              <w:t>No</w:t>
            </w:r>
          </w:p>
        </w:tc>
      </w:tr>
      <w:tr>
        <w:tc>
          <w:tcPr>
            <w:tcW w:type="dxa" w:w="1680"/>
          </w:tcPr>
          <w:p>
            <w:r>
              <w:rPr>
                <w:rFonts w:ascii="Arial" w:hAnsi="Arial"/>
                <w:b w:val="0"/>
                <w:i w:val="0"/>
                <w:color w:val="2D2826"/>
                <w:sz w:val="22"/>
              </w:rPr>
              <w:t>Requester</w:t>
            </w:r>
          </w:p>
        </w:tc>
        <w:tc>
          <w:tcPr>
            <w:tcW w:type="dxa" w:w="1680"/>
          </w:tcPr>
          <w:p>
            <w:r>
              <w:rPr>
                <w:rFonts w:ascii="Arial" w:hAnsi="Arial"/>
                <w:b w:val="0"/>
                <w:i w:val="0"/>
                <w:color w:val="2D2826"/>
                <w:sz w:val="22"/>
              </w:rPr>
              <w:t>Yes</w:t>
            </w:r>
          </w:p>
        </w:tc>
        <w:tc>
          <w:tcPr>
            <w:tcW w:type="dxa" w:w="1680"/>
          </w:tcPr>
          <w:p>
            <w:r>
              <w:rPr>
                <w:rFonts w:ascii="Arial" w:hAnsi="Arial"/>
                <w:b w:val="0"/>
                <w:i w:val="0"/>
                <w:color w:val="2D2826"/>
                <w:sz w:val="22"/>
              </w:rPr>
              <w:t>Yes</w:t>
            </w:r>
          </w:p>
        </w:tc>
        <w:tc>
          <w:tcPr>
            <w:tcW w:type="dxa" w:w="1680"/>
          </w:tcPr>
          <w:p>
            <w:r>
              <w:rPr>
                <w:rFonts w:ascii="Arial" w:hAnsi="Arial"/>
                <w:b w:val="0"/>
                <w:i w:val="0"/>
                <w:color w:val="2D2826"/>
                <w:sz w:val="22"/>
              </w:rPr>
              <w:t>No</w:t>
            </w:r>
          </w:p>
        </w:tc>
        <w:tc>
          <w:tcPr>
            <w:tcW w:type="dxa" w:w="1680"/>
          </w:tcPr>
          <w:p>
            <w:r>
              <w:rPr>
                <w:rFonts w:ascii="Arial" w:hAnsi="Arial"/>
                <w:b w:val="0"/>
                <w:i w:val="0"/>
                <w:color w:val="2D2826"/>
                <w:sz w:val="22"/>
              </w:rPr>
              <w:t>No</w:t>
            </w:r>
          </w:p>
        </w:tc>
        <w:tc>
          <w:tcPr>
            <w:tcW w:type="dxa" w:w="1680"/>
          </w:tcPr>
          <w:p>
            <w:r>
              <w:rPr>
                <w:rFonts w:ascii="Arial" w:hAnsi="Arial"/>
                <w:b w:val="0"/>
                <w:i w:val="0"/>
                <w:color w:val="2D2826"/>
                <w:sz w:val="22"/>
              </w:rPr>
              <w:t>No</w:t>
            </w:r>
          </w:p>
        </w:tc>
      </w:tr>
      <w:tr>
        <w:tc>
          <w:tcPr>
            <w:tcW w:type="dxa" w:w="1680"/>
          </w:tcPr>
          <w:p>
            <w:r>
              <w:rPr>
                <w:rFonts w:ascii="Arial" w:hAnsi="Arial"/>
                <w:b w:val="0"/>
                <w:i w:val="0"/>
                <w:color w:val="2D2826"/>
                <w:sz w:val="22"/>
              </w:rPr>
              <w:t>Approver</w:t>
            </w:r>
          </w:p>
        </w:tc>
        <w:tc>
          <w:tcPr>
            <w:tcW w:type="dxa" w:w="1680"/>
          </w:tcPr>
          <w:p>
            <w:r>
              <w:rPr>
                <w:rFonts w:ascii="Arial" w:hAnsi="Arial"/>
                <w:b w:val="0"/>
                <w:i w:val="0"/>
                <w:color w:val="2D2826"/>
                <w:sz w:val="22"/>
              </w:rPr>
              <w:t>Yes</w:t>
            </w:r>
          </w:p>
        </w:tc>
        <w:tc>
          <w:tcPr>
            <w:tcW w:type="dxa" w:w="1680"/>
          </w:tcPr>
          <w:p>
            <w:r>
              <w:rPr>
                <w:rFonts w:ascii="Arial" w:hAnsi="Arial"/>
                <w:b w:val="0"/>
                <w:i w:val="0"/>
                <w:color w:val="2D2826"/>
                <w:sz w:val="22"/>
              </w:rPr>
              <w:t>Yes</w:t>
            </w:r>
          </w:p>
        </w:tc>
        <w:tc>
          <w:tcPr>
            <w:tcW w:type="dxa" w:w="1680"/>
          </w:tcPr>
          <w:p>
            <w:r>
              <w:rPr>
                <w:rFonts w:ascii="Arial" w:hAnsi="Arial"/>
                <w:b w:val="0"/>
                <w:i w:val="0"/>
                <w:color w:val="2D2826"/>
                <w:sz w:val="22"/>
              </w:rPr>
              <w:t>Yes</w:t>
            </w:r>
          </w:p>
        </w:tc>
        <w:tc>
          <w:tcPr>
            <w:tcW w:type="dxa" w:w="1680"/>
          </w:tcPr>
          <w:p>
            <w:r>
              <w:rPr>
                <w:rFonts w:ascii="Arial" w:hAnsi="Arial"/>
                <w:b w:val="0"/>
                <w:i w:val="0"/>
                <w:color w:val="2D2826"/>
                <w:sz w:val="22"/>
              </w:rPr>
              <w:t>No</w:t>
            </w:r>
          </w:p>
        </w:tc>
        <w:tc>
          <w:tcPr>
            <w:tcW w:type="dxa" w:w="1680"/>
          </w:tcPr>
          <w:p>
            <w:r>
              <w:rPr>
                <w:rFonts w:ascii="Arial" w:hAnsi="Arial"/>
                <w:b w:val="0"/>
                <w:i w:val="0"/>
                <w:color w:val="2D2826"/>
                <w:sz w:val="22"/>
              </w:rPr>
              <w:t>No</w:t>
            </w:r>
          </w:p>
        </w:tc>
      </w:tr>
      <w:tr>
        <w:tc>
          <w:tcPr>
            <w:tcW w:type="dxa" w:w="1680"/>
          </w:tcPr>
          <w:p>
            <w:r>
              <w:rPr>
                <w:rFonts w:ascii="Arial" w:hAnsi="Arial"/>
                <w:b w:val="0"/>
                <w:i w:val="0"/>
                <w:color w:val="2D2826"/>
                <w:sz w:val="22"/>
              </w:rPr>
              <w:t>Administrator</w:t>
            </w:r>
          </w:p>
        </w:tc>
        <w:tc>
          <w:tcPr>
            <w:tcW w:type="dxa" w:w="1680"/>
          </w:tcPr>
          <w:p>
            <w:r>
              <w:rPr>
                <w:rFonts w:ascii="Arial" w:hAnsi="Arial"/>
                <w:b w:val="0"/>
                <w:i w:val="0"/>
                <w:color w:val="2D2826"/>
                <w:sz w:val="22"/>
              </w:rPr>
              <w:t>No*</w:t>
            </w:r>
          </w:p>
        </w:tc>
        <w:tc>
          <w:tcPr>
            <w:tcW w:type="dxa" w:w="1680"/>
          </w:tcPr>
          <w:p>
            <w:r>
              <w:rPr>
                <w:rFonts w:ascii="Arial" w:hAnsi="Arial"/>
                <w:b w:val="0"/>
                <w:i w:val="0"/>
                <w:color w:val="2D2826"/>
                <w:sz w:val="22"/>
              </w:rPr>
              <w:t>No*</w:t>
            </w:r>
          </w:p>
        </w:tc>
        <w:tc>
          <w:tcPr>
            <w:tcW w:type="dxa" w:w="1680"/>
          </w:tcPr>
          <w:p>
            <w:r>
              <w:rPr>
                <w:rFonts w:ascii="Arial" w:hAnsi="Arial"/>
                <w:b w:val="0"/>
                <w:i w:val="0"/>
                <w:color w:val="2D2826"/>
                <w:sz w:val="22"/>
              </w:rPr>
              <w:t>No*</w:t>
            </w:r>
          </w:p>
        </w:tc>
        <w:tc>
          <w:tcPr>
            <w:tcW w:type="dxa" w:w="1680"/>
          </w:tcPr>
          <w:p>
            <w:r>
              <w:rPr>
                <w:rFonts w:ascii="Arial" w:hAnsi="Arial"/>
                <w:b w:val="0"/>
                <w:i w:val="0"/>
                <w:color w:val="2D2826"/>
                <w:sz w:val="22"/>
              </w:rPr>
              <w:t>Yes</w:t>
            </w:r>
          </w:p>
        </w:tc>
        <w:tc>
          <w:tcPr>
            <w:tcW w:type="dxa" w:w="1680"/>
          </w:tcPr>
          <w:p>
            <w:r>
              <w:rPr>
                <w:rFonts w:ascii="Arial" w:hAnsi="Arial"/>
                <w:b w:val="0"/>
                <w:i w:val="0"/>
                <w:color w:val="2D2826"/>
                <w:sz w:val="22"/>
              </w:rPr>
              <w:t>Yes</w:t>
            </w:r>
          </w:p>
        </w:tc>
      </w:tr>
    </w:tbl>
    <w:p/>
    <w:tbl>
      <w:tblPr>
        <w:tblW w:type="auto" w:w="0"/>
        <w:tblLook w:firstColumn="1" w:firstRow="1" w:lastColumn="0" w:lastRow="0" w:noHBand="0" w:noVBand="1" w:val="04A0"/>
      </w:tblPr>
      <w:tblGrid>
        <w:gridCol w:w="10080"/>
      </w:tblGrid>
      <w:tr>
        <w:tc>
          <w:tcPr>
            <w:tcW w:type="dxa" w:w="10080"/>
            <w:shd w:val="clear" w:color="auto" w:fill="FFF3F3"/>
            <w:tcBorders>
              <w:top w:val="single" w:sz="4" w:space="0" w:color="AAAAAA"/>
              <w:left w:val="single" w:sz="4" w:space="0" w:color="AAAAAA"/>
              <w:bottom w:val="single" w:sz="4" w:space="0" w:color="AAAAAA"/>
              <w:right w:val="single" w:sz="4" w:space="0" w:color="AAAAAA"/>
            </w:tcBorders>
          </w:tcPr>
          <w:p>
            <w:pPr>
              <w:spacing w:before="60" w:after="60"/>
            </w:pPr>
            <w:r>
              <w:rPr>
                <w:rFonts w:ascii="Arial" w:hAnsi="Arial"/>
                <w:b/>
                <w:i w:val="0"/>
                <w:color w:val="A40000"/>
                <w:sz w:val="18"/>
              </w:rPr>
              <w:t xml:space="preserve">Note: </w:t>
            </w:r>
            <w:r>
              <w:rPr>
                <w:rFonts w:ascii="Arial" w:hAnsi="Arial"/>
                <w:b w:val="0"/>
                <w:i w:val="0"/>
                <w:color w:val="2D2826"/>
                <w:sz w:val="20"/>
              </w:rPr>
              <w:t>* Being assigned Administrator does not automatically grant Shopper, Requester, or Approver access. If an administrator also needs to shop, submit, or approve requisitions, that role is assigned separately, the same as for any other user (see Managing Users &amp; Permissions).</w:t>
            </w:r>
          </w:p>
        </w:tc>
      </w:tr>
    </w:tbl>
    <w:p/>
    <w:p>
      <w:pPr>
        <w:spacing w:before="160" w:after="40"/>
      </w:pPr>
      <w:r>
        <w:rPr>
          <w:rFonts w:ascii="Arial" w:hAnsi="Arial"/>
          <w:b/>
          <w:i w:val="0"/>
          <w:color w:val="2D2826"/>
          <w:sz w:val="28"/>
        </w:rPr>
        <w:t>Shopper</w:t>
      </w:r>
    </w:p>
    <w:p>
      <w:pPr>
        <w:spacing w:before="0" w:after="80"/>
      </w:pPr>
      <w:r>
        <w:rPr>
          <w:rFonts w:ascii="Arial" w:hAnsi="Arial"/>
          <w:b w:val="0"/>
          <w:i w:val="0"/>
          <w:color w:val="2D2826"/>
          <w:sz w:val="24"/>
        </w:rPr>
        <w:t>Can browse The Store and the Quick Buy carousel and build a cart, but cannot select Checkout — the Submit option is not available to this role. Assign Shopper to staff who need visibility into available items without transacting authority.</w:t>
      </w:r>
    </w:p>
    <w:p>
      <w:pPr>
        <w:spacing w:before="160" w:after="40"/>
      </w:pPr>
      <w:r>
        <w:rPr>
          <w:rFonts w:ascii="Arial" w:hAnsi="Arial"/>
          <w:b/>
          <w:i w:val="0"/>
          <w:color w:val="2D2826"/>
          <w:sz w:val="28"/>
        </w:rPr>
        <w:t>Requester</w:t>
      </w:r>
    </w:p>
    <w:p>
      <w:pPr>
        <w:spacing w:before="0" w:after="80"/>
      </w:pPr>
      <w:r>
        <w:rPr>
          <w:rFonts w:ascii="Arial" w:hAnsi="Arial"/>
          <w:b w:val="0"/>
          <w:i w:val="0"/>
          <w:color w:val="2D2826"/>
          <w:sz w:val="24"/>
        </w:rPr>
        <w:t>Has all Shopper access, plus the ability to complete Checkout, submit requisitions, and track them from Recent Transactions. This is the role most end users are assigned (see Creating a Purchase Request (Quick Buy)).</w:t>
      </w:r>
    </w:p>
    <w:p>
      <w:pPr>
        <w:spacing w:before="160" w:after="40"/>
      </w:pPr>
      <w:r>
        <w:rPr>
          <w:rFonts w:ascii="Arial" w:hAnsi="Arial"/>
          <w:b/>
          <w:i w:val="0"/>
          <w:color w:val="2D2826"/>
          <w:sz w:val="28"/>
        </w:rPr>
        <w:t>Approver</w:t>
      </w:r>
    </w:p>
    <w:p>
      <w:pPr>
        <w:spacing w:before="0" w:after="80"/>
      </w:pPr>
      <w:r>
        <w:rPr>
          <w:rFonts w:ascii="Arial" w:hAnsi="Arial"/>
          <w:b w:val="0"/>
          <w:i w:val="0"/>
          <w:color w:val="2D2826"/>
          <w:sz w:val="24"/>
        </w:rPr>
        <w:t>Has all Requester access, plus the Purchase Approvals service card to review, approve, or reject requisitions routed to them (see Reviewing a Purchase Request) (see Approving and Rejecting Requests).</w:t>
      </w:r>
    </w:p>
    <w:p>
      <w:pPr>
        <w:spacing w:before="160" w:after="40"/>
      </w:pPr>
      <w:r>
        <w:rPr>
          <w:rFonts w:ascii="Arial" w:hAnsi="Arial"/>
          <w:b/>
          <w:i w:val="0"/>
          <w:color w:val="2D2826"/>
          <w:sz w:val="28"/>
        </w:rPr>
        <w:t>Administrator</w:t>
      </w:r>
    </w:p>
    <w:p>
      <w:pPr>
        <w:spacing w:before="0" w:after="80"/>
      </w:pPr>
      <w:r>
        <w:rPr>
          <w:rFonts w:ascii="Arial" w:hAnsi="Arial"/>
          <w:b w:val="0"/>
          <w:i w:val="0"/>
          <w:color w:val="2D2826"/>
          <w:sz w:val="24"/>
        </w:rPr>
        <w:t>A separate role focused on system configuration rather than day-to-day purchasing. Administrators can invite users and assign or update roles (see Managing Users &amp; Permissions), and hold entity-level configuration authority such as approval workflow settings, receiving rules, and transaction copy / change order permissions.</w:t>
      </w:r>
    </w:p>
    <w:tbl>
      <w:tblPr>
        <w:tblW w:type="auto" w:w="0"/>
        <w:tblLook w:firstColumn="1" w:firstRow="1" w:lastColumn="0" w:lastRow="0" w:noHBand="0" w:noVBand="1" w:val="04A0"/>
      </w:tblPr>
      <w:tblGrid>
        <w:gridCol w:w="10080"/>
      </w:tblGrid>
      <w:tr>
        <w:tc>
          <w:tcPr>
            <w:tcW w:type="dxa" w:w="10080"/>
            <w:shd w:val="clear" w:color="auto" w:fill="FFF3F3"/>
            <w:tcBorders>
              <w:top w:val="single" w:sz="4" w:space="0" w:color="AAAAAA"/>
              <w:left w:val="single" w:sz="4" w:space="0" w:color="AAAAAA"/>
              <w:bottom w:val="single" w:sz="4" w:space="0" w:color="AAAAAA"/>
              <w:right w:val="single" w:sz="4" w:space="0" w:color="AAAAAA"/>
            </w:tcBorders>
          </w:tcPr>
          <w:p>
            <w:pPr>
              <w:spacing w:before="60" w:after="60"/>
            </w:pPr>
            <w:r>
              <w:rPr>
                <w:rFonts w:ascii="Arial" w:hAnsi="Arial"/>
                <w:b/>
                <w:i w:val="0"/>
                <w:color w:val="A40000"/>
                <w:sz w:val="18"/>
              </w:rPr>
              <w:t xml:space="preserve">CAUTION Watch out for: </w:t>
            </w:r>
            <w:r>
              <w:rPr>
                <w:rFonts w:ascii="Arial" w:hAnsi="Arial"/>
                <w:b w:val="0"/>
                <w:i w:val="0"/>
                <w:color w:val="2D2826"/>
                <w:sz w:val="20"/>
              </w:rPr>
              <w:t>A user can hold more than one role at a time — for example, a Requester may also be an Approver for a different queue. Assign every role that reflects the user's actual responsibilities (see Managing Users &amp; Permissions).</w:t>
            </w:r>
          </w:p>
        </w:tc>
      </w:tr>
    </w:tbl>
    <w:p/>
    <w:tbl>
      <w:tblPr>
        <w:tblW w:type="auto" w:w="0"/>
        <w:tblLook w:firstColumn="1" w:firstRow="1" w:lastColumn="0" w:lastRow="0" w:noHBand="0" w:noVBand="1" w:val="04A0"/>
      </w:tblPr>
      <w:tblGrid>
        <w:gridCol w:w="10080"/>
      </w:tblGrid>
      <w:tr>
        <w:tc>
          <w:tcPr>
            <w:tcW w:type="dxa" w:w="10080"/>
            <w:shd w:val="clear" w:color="auto" w:fill="FFF3F3"/>
            <w:tcBorders>
              <w:top w:val="single" w:sz="4" w:space="0" w:color="AAAAAA"/>
              <w:left w:val="single" w:sz="4" w:space="0" w:color="AAAAAA"/>
              <w:bottom w:val="single" w:sz="4" w:space="0" w:color="AAAAAA"/>
              <w:right w:val="single" w:sz="4" w:space="0" w:color="AAAAAA"/>
            </w:tcBorders>
          </w:tcPr>
          <w:p>
            <w:pPr>
              <w:spacing w:before="60" w:after="60"/>
            </w:pPr>
            <w:r>
              <w:rPr>
                <w:rFonts w:ascii="Arial" w:hAnsi="Arial"/>
                <w:b/>
                <w:i w:val="0"/>
                <w:color w:val="A40000"/>
                <w:sz w:val="18"/>
              </w:rPr>
              <w:t xml:space="preserve">NOTE </w:t>
            </w:r>
            <w:r>
              <w:rPr>
                <w:rFonts w:ascii="Arial" w:hAnsi="Arial"/>
                <w:b w:val="0"/>
                <w:i w:val="0"/>
                <w:color w:val="2D2826"/>
                <w:sz w:val="20"/>
              </w:rPr>
              <w:t>✓ You're done when: You can identify which of the four roles — Shopper, Requester, Approver, or Administrator — applies to a given user or task, and know which guide to reference for detailed steps.</w:t>
            </w:r>
          </w:p>
        </w:tc>
      </w:tr>
    </w:tbl>
    <w:p/>
    <w:sectPr w:rsidR="00FC693F" w:rsidRPr="0006063C" w:rsidSect="00034616">
      <w:headerReference w:type="default" r:id="rId9"/>
      <w:footerReference w:type="default" r:id="rId10"/>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Arial" w:hAnsi="Arial"/>
        <w:b w:val="0"/>
        <w:i w:val="0"/>
        <w:color w:val="686468"/>
        <w:sz w:val="18"/>
      </w:rPr>
      <w:t>Whitney Walden  |  ESM Solutions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Arial" w:hAnsi="Arial"/>
        <w:b w:val="0"/>
        <w:i w:val="0"/>
        <w:color w:val="686468"/>
        <w:sz w:val="18"/>
      </w:rPr>
      <w:t>Understanding User Roles: Shopper, Requester, Approver &amp; Administrator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lang w:val="en-U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numbering" Target="numbering.xml"/><Relationship Id="rId6" Type="http://schemas.openxmlformats.org/officeDocument/2006/relationships/webSettings" Target="webSettings.xml"/><Relationship Id="rId1" Type="http://schemas.openxmlformats.org/officeDocument/2006/relationships/customXml" Target="../customXml/item1.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E6AB25F8633CE41BE0CFCF3DC5F17CC" ma:contentTypeVersion="17" ma:contentTypeDescription="Create a new document." ma:contentTypeScope="" ma:versionID="e9009658be88358e0d97d7026e8cc929">
  <xsd:schema xmlns:xsd="http://www.w3.org/2001/XMLSchema" xmlns:xs="http://www.w3.org/2001/XMLSchema" xmlns:p="http://schemas.microsoft.com/office/2006/metadata/properties" xmlns:ns1="http://schemas.microsoft.com/sharepoint/v3" xmlns:ns2="c3794222-982d-4094-a237-335122da60d6" xmlns:ns3="896f54bc-1228-4d3c-9f6a-389a54d834f2" targetNamespace="http://schemas.microsoft.com/office/2006/metadata/properties" ma:root="true" ma:fieldsID="c5d8ca03e3e7b1789be2d2e8d1d40504" ns1:_="" ns2:_="" ns3:_="">
    <xsd:import namespace="http://schemas.microsoft.com/sharepoint/v3"/>
    <xsd:import namespace="c3794222-982d-4094-a237-335122da60d6"/>
    <xsd:import namespace="896f54bc-1228-4d3c-9f6a-389a54d834f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794222-982d-4094-a237-335122da60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fe3fc5e-ebc5-4067-97c8-de4b71dd633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6f54bc-1228-4d3c-9f6a-389a54d834f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7e0a03d-0775-48d6-9314-44e3484788fb}" ma:internalName="TaxCatchAll" ma:showField="CatchAllData" ma:web="896f54bc-1228-4d3c-9f6a-389a54d834f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3794222-982d-4094-a237-335122da60d6">
      <Terms xmlns="http://schemas.microsoft.com/office/infopath/2007/PartnerControls"/>
    </lcf76f155ced4ddcb4097134ff3c332f>
    <_ip_UnifiedCompliancePolicyProperties xmlns="http://schemas.microsoft.com/sharepoint/v3" xsi:nil="true"/>
    <TaxCatchAll xmlns="896f54bc-1228-4d3c-9f6a-389a54d834f2"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E854C53-7057-48B6-B072-081876602CCC}"/>
</file>

<file path=customXml/itemProps3.xml><?xml version="1.0" encoding="utf-8"?>
<ds:datastoreItem xmlns:ds="http://schemas.openxmlformats.org/officeDocument/2006/customXml" ds:itemID="{3563E5EB-DA58-4439-B89D-46F13FB50211}"/>
</file>

<file path=customXml/itemProps4.xml><?xml version="1.0" encoding="utf-8"?>
<ds:datastoreItem xmlns:ds="http://schemas.openxmlformats.org/officeDocument/2006/customXml" ds:itemID="{5576375B-35DE-4C04-9272-0456E092A5DB}"/>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0x0101001E6AB25F8633CE41BE0CFCF3DC5F17CC</vt:lpwstr>
  </property>
</Properties>
</file>